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4D90" w14:textId="2998B2C4" w:rsidR="007B6DAE" w:rsidRDefault="00AA563D" w:rsidP="00FD3E04">
      <w:pPr>
        <w:spacing w:line="276" w:lineRule="auto"/>
        <w:jc w:val="center"/>
        <w:rPr>
          <w:b/>
          <w:sz w:val="24"/>
          <w:szCs w:val="24"/>
          <w:u w:val="single"/>
        </w:rPr>
      </w:pPr>
      <w:r>
        <w:rPr>
          <w:b/>
          <w:sz w:val="24"/>
          <w:szCs w:val="24"/>
          <w:u w:val="single"/>
        </w:rPr>
        <w:t>LEILA GAUTHAM</w:t>
      </w:r>
    </w:p>
    <w:p w14:paraId="0B069963" w14:textId="60C616BD" w:rsidR="00E9781B" w:rsidRPr="00E9781B" w:rsidRDefault="0030698C" w:rsidP="00FD3E04">
      <w:pPr>
        <w:spacing w:line="276" w:lineRule="auto"/>
        <w:jc w:val="center"/>
      </w:pPr>
      <w:r>
        <w:t>&lt;</w:t>
      </w:r>
      <w:r w:rsidR="00AA563D">
        <w:t>lgautham@umass.edu</w:t>
      </w:r>
      <w:r>
        <w:t>&gt;</w:t>
      </w:r>
    </w:p>
    <w:p w14:paraId="17371B72" w14:textId="77777777" w:rsidR="00E9781B" w:rsidRDefault="00E9781B" w:rsidP="00FD3E04">
      <w:pPr>
        <w:spacing w:line="276" w:lineRule="auto"/>
        <w:jc w:val="center"/>
        <w:rPr>
          <w:b/>
          <w:sz w:val="24"/>
          <w:szCs w:val="24"/>
        </w:rPr>
      </w:pPr>
    </w:p>
    <w:tbl>
      <w:tblPr>
        <w:tblW w:w="9468" w:type="dxa"/>
        <w:tblLook w:val="01E0" w:firstRow="1" w:lastRow="1" w:firstColumn="1" w:lastColumn="1" w:noHBand="0" w:noVBand="0"/>
      </w:tblPr>
      <w:tblGrid>
        <w:gridCol w:w="287"/>
        <w:gridCol w:w="1584"/>
        <w:gridCol w:w="20"/>
        <w:gridCol w:w="2693"/>
        <w:gridCol w:w="4884"/>
      </w:tblGrid>
      <w:tr w:rsidR="00E9781B" w14:paraId="1D672DE9" w14:textId="77777777">
        <w:tc>
          <w:tcPr>
            <w:tcW w:w="4584" w:type="dxa"/>
            <w:gridSpan w:val="4"/>
          </w:tcPr>
          <w:p w14:paraId="32D84C6E" w14:textId="77777777" w:rsidR="00E9781B" w:rsidRDefault="00E9781B" w:rsidP="00FD3E04">
            <w:pPr>
              <w:spacing w:line="276" w:lineRule="auto"/>
              <w:rPr>
                <w:u w:val="single"/>
              </w:rPr>
            </w:pPr>
            <w:r>
              <w:rPr>
                <w:b/>
                <w:u w:val="single"/>
              </w:rPr>
              <w:t>Office Contact Information</w:t>
            </w:r>
          </w:p>
        </w:tc>
        <w:tc>
          <w:tcPr>
            <w:tcW w:w="4884" w:type="dxa"/>
          </w:tcPr>
          <w:p w14:paraId="2EF8E49D" w14:textId="38672904" w:rsidR="00E9781B" w:rsidRDefault="00E9781B" w:rsidP="00FD3E04">
            <w:pPr>
              <w:spacing w:line="276" w:lineRule="auto"/>
              <w:jc w:val="right"/>
              <w:rPr>
                <w:u w:val="single"/>
              </w:rPr>
            </w:pPr>
          </w:p>
        </w:tc>
      </w:tr>
      <w:tr w:rsidR="00E9781B" w14:paraId="6C67211E" w14:textId="77777777">
        <w:tc>
          <w:tcPr>
            <w:tcW w:w="4584" w:type="dxa"/>
            <w:gridSpan w:val="4"/>
          </w:tcPr>
          <w:p w14:paraId="1A58F314" w14:textId="0B96E20F" w:rsidR="00E9781B" w:rsidRDefault="00AA563D" w:rsidP="00FD3E04">
            <w:pPr>
              <w:spacing w:line="276" w:lineRule="auto"/>
            </w:pPr>
            <w:r>
              <w:t>Gordon Hall 208</w:t>
            </w:r>
          </w:p>
        </w:tc>
        <w:tc>
          <w:tcPr>
            <w:tcW w:w="4884" w:type="dxa"/>
          </w:tcPr>
          <w:p w14:paraId="6171F8EA" w14:textId="689D59B7" w:rsidR="00E9781B" w:rsidRDefault="00E9781B" w:rsidP="00FD3E04">
            <w:pPr>
              <w:spacing w:line="276" w:lineRule="auto"/>
              <w:jc w:val="right"/>
            </w:pPr>
          </w:p>
        </w:tc>
      </w:tr>
      <w:tr w:rsidR="00E9781B" w14:paraId="27B92380" w14:textId="77777777">
        <w:tc>
          <w:tcPr>
            <w:tcW w:w="4584" w:type="dxa"/>
            <w:gridSpan w:val="4"/>
          </w:tcPr>
          <w:p w14:paraId="4AA6C1D3" w14:textId="77777777" w:rsidR="00E9781B" w:rsidRDefault="00AA563D" w:rsidP="00FD3E04">
            <w:pPr>
              <w:spacing w:line="276" w:lineRule="auto"/>
            </w:pPr>
            <w:r>
              <w:t>418 North Pleasant Street</w:t>
            </w:r>
          </w:p>
          <w:p w14:paraId="4B6E5C42" w14:textId="41A2276B" w:rsidR="00AA563D" w:rsidRDefault="00AA563D" w:rsidP="00FD3E04">
            <w:pPr>
              <w:spacing w:line="276" w:lineRule="auto"/>
            </w:pPr>
            <w:r>
              <w:t>Amherst MA 01002-2900</w:t>
            </w:r>
          </w:p>
        </w:tc>
        <w:tc>
          <w:tcPr>
            <w:tcW w:w="4884" w:type="dxa"/>
          </w:tcPr>
          <w:p w14:paraId="63D61A3B" w14:textId="7787A475" w:rsidR="00E9781B" w:rsidRDefault="00E9781B" w:rsidP="00FD3E04">
            <w:pPr>
              <w:spacing w:line="276" w:lineRule="auto"/>
              <w:jc w:val="right"/>
            </w:pPr>
          </w:p>
        </w:tc>
      </w:tr>
      <w:tr w:rsidR="00E9781B" w14:paraId="24F08C94" w14:textId="77777777">
        <w:tc>
          <w:tcPr>
            <w:tcW w:w="4584" w:type="dxa"/>
            <w:gridSpan w:val="4"/>
          </w:tcPr>
          <w:p w14:paraId="0493A5B8" w14:textId="0C1F8CF1" w:rsidR="00E9781B" w:rsidRDefault="00AA563D" w:rsidP="00FD3E04">
            <w:pPr>
              <w:spacing w:line="276" w:lineRule="auto"/>
            </w:pPr>
            <w:r>
              <w:t>Phone: +1 4138011706</w:t>
            </w:r>
          </w:p>
        </w:tc>
        <w:tc>
          <w:tcPr>
            <w:tcW w:w="4884" w:type="dxa"/>
          </w:tcPr>
          <w:p w14:paraId="2F492A82" w14:textId="29BD1AAF" w:rsidR="00E9781B" w:rsidRDefault="00E9781B" w:rsidP="00FD3E04">
            <w:pPr>
              <w:spacing w:line="276" w:lineRule="auto"/>
              <w:jc w:val="right"/>
            </w:pPr>
          </w:p>
        </w:tc>
      </w:tr>
      <w:tr w:rsidR="007B6DAE" w14:paraId="7A8B836E" w14:textId="77777777">
        <w:tc>
          <w:tcPr>
            <w:tcW w:w="9468" w:type="dxa"/>
            <w:gridSpan w:val="5"/>
          </w:tcPr>
          <w:p w14:paraId="25A9B4D8" w14:textId="77777777" w:rsidR="007B6DAE" w:rsidRDefault="007B6DAE" w:rsidP="00FD3E04">
            <w:pPr>
              <w:spacing w:line="276" w:lineRule="auto"/>
            </w:pPr>
          </w:p>
        </w:tc>
      </w:tr>
      <w:tr w:rsidR="007B6DAE" w14:paraId="07CFBB44" w14:textId="77777777">
        <w:tc>
          <w:tcPr>
            <w:tcW w:w="9468" w:type="dxa"/>
            <w:gridSpan w:val="5"/>
          </w:tcPr>
          <w:p w14:paraId="11E1358A" w14:textId="1723E2F0" w:rsidR="007B6DAE" w:rsidRDefault="0051534F" w:rsidP="00FD3E04">
            <w:pPr>
              <w:spacing w:line="276" w:lineRule="auto"/>
            </w:pPr>
            <w:r>
              <w:rPr>
                <w:b/>
                <w:u w:val="single"/>
              </w:rPr>
              <w:t>Education</w:t>
            </w:r>
          </w:p>
        </w:tc>
      </w:tr>
      <w:tr w:rsidR="007B6DAE" w14:paraId="47EC5B5B" w14:textId="77777777">
        <w:trPr>
          <w:trHeight w:val="262"/>
        </w:trPr>
        <w:tc>
          <w:tcPr>
            <w:tcW w:w="287" w:type="dxa"/>
          </w:tcPr>
          <w:p w14:paraId="474FC1CC" w14:textId="77777777" w:rsidR="007B6DAE" w:rsidRDefault="007B6DAE" w:rsidP="00FD3E04">
            <w:pPr>
              <w:spacing w:line="276" w:lineRule="auto"/>
            </w:pPr>
          </w:p>
        </w:tc>
        <w:tc>
          <w:tcPr>
            <w:tcW w:w="9181" w:type="dxa"/>
            <w:gridSpan w:val="4"/>
          </w:tcPr>
          <w:p w14:paraId="59CA7B63" w14:textId="4EA5BD7B" w:rsidR="007B6DAE" w:rsidRDefault="00AA563D" w:rsidP="00FD3E04">
            <w:pPr>
              <w:spacing w:line="276" w:lineRule="auto"/>
            </w:pPr>
            <w:r>
              <w:t>University of Massachusetts Amherst</w:t>
            </w:r>
            <w:r w:rsidR="007B6DAE">
              <w:t xml:space="preserve">, </w:t>
            </w:r>
            <w:r w:rsidR="007B6542">
              <w:t xml:space="preserve">2016 </w:t>
            </w:r>
            <w:r w:rsidR="007B6DAE">
              <w:t xml:space="preserve">to present </w:t>
            </w:r>
          </w:p>
        </w:tc>
      </w:tr>
      <w:tr w:rsidR="007B6DAE" w14:paraId="524BE3E7" w14:textId="77777777">
        <w:trPr>
          <w:trHeight w:val="258"/>
        </w:trPr>
        <w:tc>
          <w:tcPr>
            <w:tcW w:w="287" w:type="dxa"/>
          </w:tcPr>
          <w:p w14:paraId="51799C75" w14:textId="77777777" w:rsidR="007B6DAE" w:rsidRDefault="007B6DAE" w:rsidP="00FD3E04">
            <w:pPr>
              <w:spacing w:line="276" w:lineRule="auto"/>
            </w:pPr>
          </w:p>
        </w:tc>
        <w:tc>
          <w:tcPr>
            <w:tcW w:w="9181" w:type="dxa"/>
            <w:gridSpan w:val="4"/>
          </w:tcPr>
          <w:p w14:paraId="41740BA5" w14:textId="14F723E6" w:rsidR="00AF1DA4" w:rsidRPr="00AF1DA4" w:rsidRDefault="00AF1DA4" w:rsidP="00FD3E04">
            <w:pPr>
              <w:spacing w:line="276" w:lineRule="auto"/>
            </w:pPr>
            <w:r>
              <w:rPr>
                <w:u w:val="single"/>
              </w:rPr>
              <w:t xml:space="preserve">Ph.D. Candidate </w:t>
            </w:r>
            <w:r w:rsidRPr="007B6542">
              <w:rPr>
                <w:u w:val="single"/>
              </w:rPr>
              <w:t xml:space="preserve">in </w:t>
            </w:r>
            <w:r w:rsidR="007B6542" w:rsidRPr="007B6542">
              <w:rPr>
                <w:u w:val="single"/>
              </w:rPr>
              <w:t>Economics</w:t>
            </w:r>
          </w:p>
          <w:p w14:paraId="1BEF9C4D" w14:textId="1381531F" w:rsidR="007B6DAE" w:rsidRDefault="007B6DAE" w:rsidP="00FD3E04">
            <w:pPr>
              <w:spacing w:line="276" w:lineRule="auto"/>
            </w:pPr>
            <w:r>
              <w:rPr>
                <w:u w:val="single"/>
              </w:rPr>
              <w:t>Thesis Title</w:t>
            </w:r>
            <w:r>
              <w:t>: “</w:t>
            </w:r>
            <w:r w:rsidR="007B6542">
              <w:t>Essays in Unpaid Care and Gender Inequality in India</w:t>
            </w:r>
            <w:r>
              <w:t>”</w:t>
            </w:r>
          </w:p>
        </w:tc>
      </w:tr>
      <w:tr w:rsidR="007B6DAE" w14:paraId="19C473D8" w14:textId="77777777">
        <w:trPr>
          <w:trHeight w:val="258"/>
        </w:trPr>
        <w:tc>
          <w:tcPr>
            <w:tcW w:w="287" w:type="dxa"/>
          </w:tcPr>
          <w:p w14:paraId="4472FC05" w14:textId="77777777" w:rsidR="007B6DAE" w:rsidRDefault="007B6DAE" w:rsidP="00FD3E04">
            <w:pPr>
              <w:spacing w:line="276" w:lineRule="auto"/>
            </w:pPr>
          </w:p>
        </w:tc>
        <w:tc>
          <w:tcPr>
            <w:tcW w:w="9181" w:type="dxa"/>
            <w:gridSpan w:val="4"/>
          </w:tcPr>
          <w:p w14:paraId="0A3B2343" w14:textId="5C3A391F" w:rsidR="007B6DAE" w:rsidRDefault="007B6DAE" w:rsidP="00FD3E04">
            <w:pPr>
              <w:spacing w:line="276" w:lineRule="auto"/>
            </w:pPr>
            <w:r>
              <w:rPr>
                <w:u w:val="single"/>
              </w:rPr>
              <w:t>Expected Completion Date</w:t>
            </w:r>
            <w:r>
              <w:t xml:space="preserve">: </w:t>
            </w:r>
            <w:r w:rsidR="007B6542">
              <w:t>May 202</w:t>
            </w:r>
            <w:r w:rsidR="00B45220">
              <w:t>2</w:t>
            </w:r>
          </w:p>
        </w:tc>
      </w:tr>
      <w:tr w:rsidR="00013ADF" w14:paraId="14AC5F48" w14:textId="77777777">
        <w:trPr>
          <w:trHeight w:val="258"/>
        </w:trPr>
        <w:tc>
          <w:tcPr>
            <w:tcW w:w="287" w:type="dxa"/>
          </w:tcPr>
          <w:p w14:paraId="4AB651B4" w14:textId="77777777" w:rsidR="00013ADF" w:rsidRDefault="00013ADF" w:rsidP="00FD3E04">
            <w:pPr>
              <w:spacing w:line="276" w:lineRule="auto"/>
            </w:pPr>
          </w:p>
        </w:tc>
        <w:tc>
          <w:tcPr>
            <w:tcW w:w="9181" w:type="dxa"/>
            <w:gridSpan w:val="4"/>
          </w:tcPr>
          <w:p w14:paraId="4F6945EC" w14:textId="77777777" w:rsidR="00013ADF" w:rsidRDefault="00013ADF" w:rsidP="00FD3E04">
            <w:pPr>
              <w:spacing w:line="276" w:lineRule="auto"/>
              <w:rPr>
                <w:u w:val="single"/>
              </w:rPr>
            </w:pPr>
          </w:p>
        </w:tc>
      </w:tr>
      <w:tr w:rsidR="00013ADF" w14:paraId="5E1A49E5" w14:textId="77777777">
        <w:trPr>
          <w:trHeight w:val="258"/>
        </w:trPr>
        <w:tc>
          <w:tcPr>
            <w:tcW w:w="287" w:type="dxa"/>
          </w:tcPr>
          <w:p w14:paraId="72B96BE8" w14:textId="77777777" w:rsidR="00013ADF" w:rsidRDefault="00013ADF" w:rsidP="00FD3E04">
            <w:pPr>
              <w:spacing w:line="276" w:lineRule="auto"/>
            </w:pPr>
          </w:p>
        </w:tc>
        <w:tc>
          <w:tcPr>
            <w:tcW w:w="9181" w:type="dxa"/>
            <w:gridSpan w:val="4"/>
          </w:tcPr>
          <w:p w14:paraId="43FE7AC5" w14:textId="77777777" w:rsidR="00013ADF" w:rsidRDefault="00013ADF" w:rsidP="00013ADF">
            <w:pPr>
              <w:spacing w:line="276" w:lineRule="auto"/>
            </w:pPr>
            <w:r>
              <w:t>Jawaharlal Nehru University, 2014-2016</w:t>
            </w:r>
          </w:p>
          <w:p w14:paraId="14B89DB4" w14:textId="77777777" w:rsidR="00013ADF" w:rsidRPr="007B6542" w:rsidRDefault="00013ADF" w:rsidP="00013ADF">
            <w:pPr>
              <w:spacing w:line="276" w:lineRule="auto"/>
              <w:rPr>
                <w:u w:val="single"/>
              </w:rPr>
            </w:pPr>
            <w:r w:rsidRPr="007B6542">
              <w:rPr>
                <w:u w:val="single"/>
              </w:rPr>
              <w:t>MA in Economics at the Centre for Economic Studies and Planning</w:t>
            </w:r>
          </w:p>
          <w:p w14:paraId="0055940F" w14:textId="77777777" w:rsidR="00013ADF" w:rsidRDefault="00013ADF" w:rsidP="00FD3E04">
            <w:pPr>
              <w:spacing w:line="276" w:lineRule="auto"/>
              <w:rPr>
                <w:u w:val="single"/>
              </w:rPr>
            </w:pPr>
          </w:p>
          <w:p w14:paraId="4E6D9C84" w14:textId="3987B417" w:rsidR="001C6B67" w:rsidRDefault="001C6B67" w:rsidP="00FD3E04">
            <w:pPr>
              <w:spacing w:line="276" w:lineRule="auto"/>
              <w:rPr>
                <w:u w:val="single"/>
              </w:rPr>
            </w:pPr>
            <w:r>
              <w:t xml:space="preserve">St Stephen’s College, Delhi University, </w:t>
            </w:r>
            <w:r w:rsidR="009D0555">
              <w:t>2011-</w:t>
            </w:r>
            <w:r>
              <w:t>2014</w:t>
            </w:r>
          </w:p>
        </w:tc>
      </w:tr>
      <w:tr w:rsidR="00013ADF" w14:paraId="030B76CF" w14:textId="77777777">
        <w:trPr>
          <w:trHeight w:val="258"/>
        </w:trPr>
        <w:tc>
          <w:tcPr>
            <w:tcW w:w="287" w:type="dxa"/>
          </w:tcPr>
          <w:p w14:paraId="30480E06" w14:textId="77777777" w:rsidR="00013ADF" w:rsidRDefault="00013ADF" w:rsidP="00013ADF">
            <w:pPr>
              <w:spacing w:line="276" w:lineRule="auto"/>
            </w:pPr>
          </w:p>
        </w:tc>
        <w:tc>
          <w:tcPr>
            <w:tcW w:w="9181" w:type="dxa"/>
            <w:gridSpan w:val="4"/>
          </w:tcPr>
          <w:p w14:paraId="574EBF3D" w14:textId="2F02AF08" w:rsidR="00013ADF" w:rsidRPr="001C6B67" w:rsidRDefault="00013ADF" w:rsidP="00013ADF">
            <w:pPr>
              <w:spacing w:line="276" w:lineRule="auto"/>
              <w:rPr>
                <w:u w:val="single"/>
              </w:rPr>
            </w:pPr>
            <w:r w:rsidRPr="001C6B67">
              <w:rPr>
                <w:u w:val="single"/>
              </w:rPr>
              <w:t>BA (Honors) Economics</w:t>
            </w:r>
          </w:p>
        </w:tc>
      </w:tr>
      <w:tr w:rsidR="00013ADF" w14:paraId="240B7AD5" w14:textId="77777777">
        <w:tc>
          <w:tcPr>
            <w:tcW w:w="9468" w:type="dxa"/>
            <w:gridSpan w:val="5"/>
          </w:tcPr>
          <w:p w14:paraId="7FC42D51" w14:textId="77777777" w:rsidR="00013ADF" w:rsidRDefault="00013ADF" w:rsidP="00013ADF">
            <w:pPr>
              <w:spacing w:line="276" w:lineRule="auto"/>
            </w:pPr>
          </w:p>
        </w:tc>
      </w:tr>
      <w:tr w:rsidR="00013ADF" w14:paraId="686436C7" w14:textId="77777777">
        <w:tc>
          <w:tcPr>
            <w:tcW w:w="9468" w:type="dxa"/>
            <w:gridSpan w:val="5"/>
          </w:tcPr>
          <w:p w14:paraId="67740156" w14:textId="0DB53FE8" w:rsidR="00013ADF" w:rsidRDefault="00013ADF" w:rsidP="00013ADF">
            <w:pPr>
              <w:spacing w:line="276" w:lineRule="auto"/>
            </w:pPr>
            <w:r>
              <w:rPr>
                <w:b/>
                <w:u w:val="single"/>
              </w:rPr>
              <w:t>Research Fields</w:t>
            </w:r>
          </w:p>
        </w:tc>
      </w:tr>
      <w:tr w:rsidR="00013ADF" w14:paraId="7EFD23AB" w14:textId="77777777">
        <w:tc>
          <w:tcPr>
            <w:tcW w:w="287" w:type="dxa"/>
          </w:tcPr>
          <w:p w14:paraId="679657C4" w14:textId="77777777" w:rsidR="00013ADF" w:rsidRDefault="00013ADF" w:rsidP="00013ADF">
            <w:pPr>
              <w:spacing w:line="276" w:lineRule="auto"/>
            </w:pPr>
          </w:p>
        </w:tc>
        <w:tc>
          <w:tcPr>
            <w:tcW w:w="9181" w:type="dxa"/>
            <w:gridSpan w:val="4"/>
          </w:tcPr>
          <w:p w14:paraId="0DB1F47D" w14:textId="1CB741D3" w:rsidR="00013ADF" w:rsidRDefault="00D628E3" w:rsidP="00013ADF">
            <w:pPr>
              <w:spacing w:line="276" w:lineRule="auto"/>
            </w:pPr>
            <w:r>
              <w:t xml:space="preserve">Gender, </w:t>
            </w:r>
            <w:r w:rsidR="00013ADF">
              <w:t>Development, Labor</w:t>
            </w:r>
          </w:p>
        </w:tc>
      </w:tr>
      <w:tr w:rsidR="00013ADF" w14:paraId="24CD2FEA" w14:textId="77777777">
        <w:tc>
          <w:tcPr>
            <w:tcW w:w="287" w:type="dxa"/>
          </w:tcPr>
          <w:p w14:paraId="2880C036" w14:textId="77777777" w:rsidR="00013ADF" w:rsidRDefault="00013ADF" w:rsidP="00013ADF">
            <w:pPr>
              <w:spacing w:line="276" w:lineRule="auto"/>
            </w:pPr>
          </w:p>
        </w:tc>
        <w:tc>
          <w:tcPr>
            <w:tcW w:w="9181" w:type="dxa"/>
            <w:gridSpan w:val="4"/>
          </w:tcPr>
          <w:p w14:paraId="6E5A99DA" w14:textId="77777777" w:rsidR="00013ADF" w:rsidRDefault="00013ADF" w:rsidP="00013ADF">
            <w:pPr>
              <w:spacing w:line="276" w:lineRule="auto"/>
            </w:pPr>
          </w:p>
        </w:tc>
      </w:tr>
      <w:tr w:rsidR="00013ADF" w14:paraId="09214AE3" w14:textId="77777777">
        <w:tc>
          <w:tcPr>
            <w:tcW w:w="9468" w:type="dxa"/>
            <w:gridSpan w:val="5"/>
          </w:tcPr>
          <w:p w14:paraId="6EB3F740" w14:textId="7D615489" w:rsidR="00013ADF" w:rsidRDefault="00013ADF" w:rsidP="00013ADF">
            <w:pPr>
              <w:spacing w:line="276" w:lineRule="auto"/>
              <w:rPr>
                <w:b/>
                <w:u w:val="single"/>
              </w:rPr>
            </w:pPr>
            <w:r>
              <w:rPr>
                <w:b/>
                <w:u w:val="single"/>
              </w:rPr>
              <w:t>Teaching Experience</w:t>
            </w:r>
          </w:p>
        </w:tc>
      </w:tr>
      <w:tr w:rsidR="00013ADF" w14:paraId="4E58F38A" w14:textId="77777777">
        <w:tc>
          <w:tcPr>
            <w:tcW w:w="287" w:type="dxa"/>
          </w:tcPr>
          <w:p w14:paraId="5D42AB06" w14:textId="77777777" w:rsidR="00013ADF" w:rsidRDefault="00013ADF" w:rsidP="00013ADF">
            <w:pPr>
              <w:spacing w:line="276" w:lineRule="auto"/>
            </w:pPr>
          </w:p>
        </w:tc>
        <w:tc>
          <w:tcPr>
            <w:tcW w:w="1584" w:type="dxa"/>
          </w:tcPr>
          <w:p w14:paraId="61A7E6BC" w14:textId="7B18EC83" w:rsidR="00013ADF" w:rsidRDefault="00013ADF" w:rsidP="00013ADF">
            <w:pPr>
              <w:spacing w:line="276" w:lineRule="auto"/>
            </w:pPr>
            <w:r>
              <w:t>Fall 2017</w:t>
            </w:r>
          </w:p>
        </w:tc>
        <w:tc>
          <w:tcPr>
            <w:tcW w:w="7597" w:type="dxa"/>
            <w:gridSpan w:val="3"/>
          </w:tcPr>
          <w:p w14:paraId="014BA72C" w14:textId="5C2E0BC9" w:rsidR="00013ADF" w:rsidRDefault="00013ADF" w:rsidP="00013ADF">
            <w:pPr>
              <w:spacing w:line="276" w:lineRule="auto"/>
            </w:pPr>
            <w:r>
              <w:t>Intermediate Macroeconomics, teaching assistant for Professor Vamsi Vakulabharanam (UMass Amherst, Economics)</w:t>
            </w:r>
          </w:p>
        </w:tc>
      </w:tr>
      <w:tr w:rsidR="00013ADF" w14:paraId="61737910" w14:textId="77777777">
        <w:tc>
          <w:tcPr>
            <w:tcW w:w="287" w:type="dxa"/>
          </w:tcPr>
          <w:p w14:paraId="4583C395" w14:textId="77777777" w:rsidR="00013ADF" w:rsidRDefault="00013ADF" w:rsidP="00013ADF">
            <w:pPr>
              <w:spacing w:line="276" w:lineRule="auto"/>
            </w:pPr>
          </w:p>
        </w:tc>
        <w:tc>
          <w:tcPr>
            <w:tcW w:w="1584" w:type="dxa"/>
          </w:tcPr>
          <w:p w14:paraId="6AF31740" w14:textId="14C8350C" w:rsidR="00013ADF" w:rsidRDefault="00013ADF" w:rsidP="00013ADF">
            <w:pPr>
              <w:spacing w:line="276" w:lineRule="auto"/>
            </w:pPr>
            <w:r>
              <w:t>Spring 2017</w:t>
            </w:r>
          </w:p>
        </w:tc>
        <w:tc>
          <w:tcPr>
            <w:tcW w:w="7597" w:type="dxa"/>
            <w:gridSpan w:val="3"/>
          </w:tcPr>
          <w:p w14:paraId="0ACFD037" w14:textId="1D37AE8B" w:rsidR="00013ADF" w:rsidRDefault="00013ADF" w:rsidP="00013ADF">
            <w:pPr>
              <w:spacing w:line="276" w:lineRule="auto"/>
            </w:pPr>
            <w:r>
              <w:t>Introduction to Macroeconomics, teaching assistant for Professor Ozgur Orhangazi</w:t>
            </w:r>
            <w:r w:rsidR="00650F83">
              <w:t xml:space="preserve"> </w:t>
            </w:r>
            <w:r>
              <w:t>(UMass Amherst, Economics)</w:t>
            </w:r>
          </w:p>
        </w:tc>
      </w:tr>
      <w:tr w:rsidR="00013ADF" w14:paraId="389E142D" w14:textId="77777777">
        <w:tc>
          <w:tcPr>
            <w:tcW w:w="287" w:type="dxa"/>
          </w:tcPr>
          <w:p w14:paraId="25F845AA" w14:textId="77777777" w:rsidR="00013ADF" w:rsidRDefault="00013ADF" w:rsidP="00013ADF">
            <w:pPr>
              <w:spacing w:line="276" w:lineRule="auto"/>
            </w:pPr>
          </w:p>
        </w:tc>
        <w:tc>
          <w:tcPr>
            <w:tcW w:w="9181" w:type="dxa"/>
            <w:gridSpan w:val="4"/>
          </w:tcPr>
          <w:p w14:paraId="40953EFC" w14:textId="77777777" w:rsidR="00013ADF" w:rsidRDefault="00013ADF" w:rsidP="00013ADF">
            <w:pPr>
              <w:spacing w:line="276" w:lineRule="auto"/>
            </w:pPr>
          </w:p>
        </w:tc>
      </w:tr>
      <w:tr w:rsidR="00013ADF" w14:paraId="6E2574CC" w14:textId="77777777">
        <w:tc>
          <w:tcPr>
            <w:tcW w:w="9468" w:type="dxa"/>
            <w:gridSpan w:val="5"/>
          </w:tcPr>
          <w:p w14:paraId="2378D8E4" w14:textId="19F500E3" w:rsidR="00013ADF" w:rsidRDefault="00013ADF" w:rsidP="00013ADF">
            <w:pPr>
              <w:spacing w:line="276" w:lineRule="auto"/>
              <w:rPr>
                <w:b/>
                <w:u w:val="single"/>
              </w:rPr>
            </w:pPr>
            <w:r>
              <w:rPr>
                <w:b/>
                <w:u w:val="single"/>
              </w:rPr>
              <w:t>Research Experience and Other Employment</w:t>
            </w:r>
          </w:p>
        </w:tc>
      </w:tr>
      <w:tr w:rsidR="00013ADF" w14:paraId="4B45F773" w14:textId="77777777">
        <w:tc>
          <w:tcPr>
            <w:tcW w:w="287" w:type="dxa"/>
          </w:tcPr>
          <w:p w14:paraId="2DFEAB60" w14:textId="77777777" w:rsidR="00013ADF" w:rsidRDefault="00013ADF" w:rsidP="00013ADF">
            <w:pPr>
              <w:spacing w:line="276" w:lineRule="auto"/>
            </w:pPr>
          </w:p>
        </w:tc>
        <w:tc>
          <w:tcPr>
            <w:tcW w:w="1584" w:type="dxa"/>
          </w:tcPr>
          <w:p w14:paraId="1E013FB1" w14:textId="0EAE0034" w:rsidR="00013ADF" w:rsidRDefault="00013ADF" w:rsidP="00013ADF">
            <w:pPr>
              <w:spacing w:line="276" w:lineRule="auto"/>
            </w:pPr>
            <w:r>
              <w:t>2018-present</w:t>
            </w:r>
          </w:p>
        </w:tc>
        <w:tc>
          <w:tcPr>
            <w:tcW w:w="7597" w:type="dxa"/>
            <w:gridSpan w:val="3"/>
          </w:tcPr>
          <w:p w14:paraId="30F53D85" w14:textId="7C1D50DA" w:rsidR="00013ADF" w:rsidRDefault="00013ADF" w:rsidP="00013ADF">
            <w:pPr>
              <w:spacing w:line="276" w:lineRule="auto"/>
            </w:pPr>
            <w:r>
              <w:t>Political Economy Research Institute, research assistant for Professor Nancy Folbre</w:t>
            </w:r>
          </w:p>
        </w:tc>
      </w:tr>
      <w:tr w:rsidR="001B096C" w14:paraId="2E44B7CC" w14:textId="77777777">
        <w:tc>
          <w:tcPr>
            <w:tcW w:w="287" w:type="dxa"/>
          </w:tcPr>
          <w:p w14:paraId="7613832D" w14:textId="77777777" w:rsidR="001B096C" w:rsidRDefault="001B096C" w:rsidP="00013ADF">
            <w:pPr>
              <w:spacing w:line="276" w:lineRule="auto"/>
            </w:pPr>
          </w:p>
        </w:tc>
        <w:tc>
          <w:tcPr>
            <w:tcW w:w="1584" w:type="dxa"/>
          </w:tcPr>
          <w:p w14:paraId="659C3F4B" w14:textId="550FA306" w:rsidR="001B096C" w:rsidRDefault="001B096C" w:rsidP="00013ADF">
            <w:pPr>
              <w:spacing w:line="276" w:lineRule="auto"/>
            </w:pPr>
            <w:r>
              <w:t>2013, 2017</w:t>
            </w:r>
          </w:p>
        </w:tc>
        <w:tc>
          <w:tcPr>
            <w:tcW w:w="7597" w:type="dxa"/>
            <w:gridSpan w:val="3"/>
          </w:tcPr>
          <w:p w14:paraId="36351A74" w14:textId="186D2762" w:rsidR="001B096C" w:rsidRDefault="001B096C" w:rsidP="00013ADF">
            <w:pPr>
              <w:spacing w:line="276" w:lineRule="auto"/>
            </w:pPr>
            <w:r>
              <w:t xml:space="preserve">Field investigator for Professors Jean </w:t>
            </w:r>
            <w:r w:rsidR="007D5215" w:rsidRPr="007D5215">
              <w:t>Drèze</w:t>
            </w:r>
            <w:r>
              <w:t xml:space="preserve"> and Reetika Khera for surveys on public entitlements</w:t>
            </w:r>
          </w:p>
        </w:tc>
      </w:tr>
      <w:tr w:rsidR="00013ADF" w14:paraId="2BA40EF5" w14:textId="77777777">
        <w:tc>
          <w:tcPr>
            <w:tcW w:w="9468" w:type="dxa"/>
            <w:gridSpan w:val="5"/>
          </w:tcPr>
          <w:p w14:paraId="1D6AF775" w14:textId="77777777" w:rsidR="00013ADF" w:rsidRDefault="00013ADF" w:rsidP="00013ADF">
            <w:pPr>
              <w:spacing w:line="276" w:lineRule="auto"/>
              <w:rPr>
                <w:b/>
              </w:rPr>
            </w:pPr>
          </w:p>
        </w:tc>
      </w:tr>
      <w:tr w:rsidR="00013ADF" w14:paraId="2B3223F6" w14:textId="77777777">
        <w:tc>
          <w:tcPr>
            <w:tcW w:w="9468" w:type="dxa"/>
            <w:gridSpan w:val="5"/>
          </w:tcPr>
          <w:p w14:paraId="4FDEA378" w14:textId="1773B99C" w:rsidR="00013ADF" w:rsidRDefault="00013ADF" w:rsidP="00013ADF">
            <w:pPr>
              <w:spacing w:line="276" w:lineRule="auto"/>
              <w:rPr>
                <w:b/>
              </w:rPr>
            </w:pPr>
            <w:r>
              <w:rPr>
                <w:b/>
              </w:rPr>
              <w:br w:type="page"/>
            </w:r>
            <w:r w:rsidR="006E62C6">
              <w:rPr>
                <w:b/>
                <w:u w:val="single"/>
              </w:rPr>
              <w:t>Awards</w:t>
            </w:r>
            <w:r>
              <w:rPr>
                <w:b/>
                <w:u w:val="single"/>
              </w:rPr>
              <w:t xml:space="preserve"> and Fellowships</w:t>
            </w:r>
          </w:p>
        </w:tc>
      </w:tr>
      <w:tr w:rsidR="00013ADF" w14:paraId="29EB04E6" w14:textId="77777777">
        <w:tc>
          <w:tcPr>
            <w:tcW w:w="287" w:type="dxa"/>
          </w:tcPr>
          <w:p w14:paraId="133FAFB0" w14:textId="77777777" w:rsidR="00013ADF" w:rsidRDefault="00013ADF" w:rsidP="00013ADF">
            <w:pPr>
              <w:spacing w:line="276" w:lineRule="auto"/>
            </w:pPr>
          </w:p>
        </w:tc>
        <w:tc>
          <w:tcPr>
            <w:tcW w:w="1604" w:type="dxa"/>
            <w:gridSpan w:val="2"/>
          </w:tcPr>
          <w:p w14:paraId="0D43A73E" w14:textId="259AAA4C" w:rsidR="00013ADF" w:rsidRDefault="00013ADF" w:rsidP="00013ADF">
            <w:pPr>
              <w:spacing w:line="276" w:lineRule="auto"/>
            </w:pPr>
            <w:r>
              <w:t>2020</w:t>
            </w:r>
          </w:p>
        </w:tc>
        <w:tc>
          <w:tcPr>
            <w:tcW w:w="7577" w:type="dxa"/>
            <w:gridSpan w:val="2"/>
          </w:tcPr>
          <w:p w14:paraId="7773A0C1" w14:textId="429D3659" w:rsidR="00013ADF" w:rsidRDefault="00013ADF" w:rsidP="00013ADF">
            <w:pPr>
              <w:spacing w:line="276" w:lineRule="auto"/>
            </w:pPr>
            <w:r>
              <w:t xml:space="preserve">The </w:t>
            </w:r>
            <w:r w:rsidRPr="00C361B4">
              <w:t>Economics Department and SBS Dean’s Dissertation Fellowship</w:t>
            </w:r>
          </w:p>
        </w:tc>
      </w:tr>
      <w:tr w:rsidR="00013ADF" w14:paraId="55D9482F" w14:textId="77777777">
        <w:tc>
          <w:tcPr>
            <w:tcW w:w="287" w:type="dxa"/>
          </w:tcPr>
          <w:p w14:paraId="3D9A6763" w14:textId="77777777" w:rsidR="00013ADF" w:rsidRDefault="00013ADF" w:rsidP="00013ADF">
            <w:pPr>
              <w:spacing w:line="276" w:lineRule="auto"/>
            </w:pPr>
          </w:p>
        </w:tc>
        <w:tc>
          <w:tcPr>
            <w:tcW w:w="1604" w:type="dxa"/>
            <w:gridSpan w:val="2"/>
          </w:tcPr>
          <w:p w14:paraId="677D24B1" w14:textId="185F728E" w:rsidR="00013ADF" w:rsidRDefault="00013ADF" w:rsidP="00013ADF">
            <w:pPr>
              <w:spacing w:line="276" w:lineRule="auto"/>
            </w:pPr>
            <w:r>
              <w:t>2016</w:t>
            </w:r>
          </w:p>
        </w:tc>
        <w:tc>
          <w:tcPr>
            <w:tcW w:w="7577" w:type="dxa"/>
            <w:gridSpan w:val="2"/>
          </w:tcPr>
          <w:p w14:paraId="46F59170" w14:textId="600FDF54" w:rsidR="00013ADF" w:rsidRDefault="00013ADF" w:rsidP="00013ADF">
            <w:pPr>
              <w:spacing w:line="276" w:lineRule="auto"/>
            </w:pPr>
            <w:r>
              <w:t>The Economics Department Fellowship, University of Massachusetts Amherst</w:t>
            </w:r>
          </w:p>
        </w:tc>
      </w:tr>
      <w:tr w:rsidR="00013ADF" w14:paraId="788B1AE6" w14:textId="77777777">
        <w:tc>
          <w:tcPr>
            <w:tcW w:w="287" w:type="dxa"/>
          </w:tcPr>
          <w:p w14:paraId="0BB30C64" w14:textId="77777777" w:rsidR="00013ADF" w:rsidRDefault="00013ADF" w:rsidP="00013ADF">
            <w:pPr>
              <w:spacing w:line="276" w:lineRule="auto"/>
            </w:pPr>
            <w:r>
              <w:t xml:space="preserve"> </w:t>
            </w:r>
          </w:p>
        </w:tc>
        <w:tc>
          <w:tcPr>
            <w:tcW w:w="1604" w:type="dxa"/>
            <w:gridSpan w:val="2"/>
          </w:tcPr>
          <w:p w14:paraId="6EEF1F95" w14:textId="69141C5B" w:rsidR="00013ADF" w:rsidRDefault="00013ADF" w:rsidP="00013ADF">
            <w:pPr>
              <w:spacing w:line="276" w:lineRule="auto"/>
            </w:pPr>
            <w:r>
              <w:t>2016</w:t>
            </w:r>
          </w:p>
        </w:tc>
        <w:tc>
          <w:tcPr>
            <w:tcW w:w="7577" w:type="dxa"/>
            <w:gridSpan w:val="2"/>
          </w:tcPr>
          <w:p w14:paraId="669B8D5D" w14:textId="7EE2D5AC" w:rsidR="00013ADF" w:rsidRDefault="00013ADF" w:rsidP="00013ADF">
            <w:pPr>
              <w:spacing w:line="276" w:lineRule="auto"/>
            </w:pPr>
            <w:r>
              <w:t>The Ranjan Roy Memorial Prize, Jawaharlal Nehru University</w:t>
            </w:r>
          </w:p>
        </w:tc>
      </w:tr>
      <w:tr w:rsidR="00013ADF" w14:paraId="5BFD3AA8" w14:textId="77777777">
        <w:tc>
          <w:tcPr>
            <w:tcW w:w="287" w:type="dxa"/>
          </w:tcPr>
          <w:p w14:paraId="0B93DBE6" w14:textId="77777777" w:rsidR="00013ADF" w:rsidRDefault="00013ADF" w:rsidP="00013ADF">
            <w:pPr>
              <w:spacing w:line="276" w:lineRule="auto"/>
            </w:pPr>
          </w:p>
        </w:tc>
        <w:tc>
          <w:tcPr>
            <w:tcW w:w="1604" w:type="dxa"/>
            <w:gridSpan w:val="2"/>
          </w:tcPr>
          <w:p w14:paraId="4267C139" w14:textId="5DF1D558" w:rsidR="00013ADF" w:rsidRDefault="00013ADF" w:rsidP="00013ADF">
            <w:pPr>
              <w:spacing w:line="276" w:lineRule="auto"/>
            </w:pPr>
            <w:r>
              <w:t>2015</w:t>
            </w:r>
          </w:p>
        </w:tc>
        <w:tc>
          <w:tcPr>
            <w:tcW w:w="7577" w:type="dxa"/>
            <w:gridSpan w:val="2"/>
          </w:tcPr>
          <w:p w14:paraId="216C8A2A" w14:textId="2C90EF54" w:rsidR="00013ADF" w:rsidRDefault="00013ADF" w:rsidP="00013ADF">
            <w:pPr>
              <w:spacing w:line="276" w:lineRule="auto"/>
            </w:pPr>
            <w:r>
              <w:t>The EXIM Bank Scholarship, Jawaharlal Nehru University</w:t>
            </w:r>
          </w:p>
        </w:tc>
      </w:tr>
      <w:tr w:rsidR="00167421" w14:paraId="0F175619" w14:textId="77777777">
        <w:tc>
          <w:tcPr>
            <w:tcW w:w="287" w:type="dxa"/>
          </w:tcPr>
          <w:p w14:paraId="115E7FE8" w14:textId="77777777" w:rsidR="00167421" w:rsidRDefault="00167421" w:rsidP="00013ADF">
            <w:pPr>
              <w:spacing w:line="276" w:lineRule="auto"/>
            </w:pPr>
          </w:p>
        </w:tc>
        <w:tc>
          <w:tcPr>
            <w:tcW w:w="1604" w:type="dxa"/>
            <w:gridSpan w:val="2"/>
          </w:tcPr>
          <w:p w14:paraId="715D9356" w14:textId="1BE31188" w:rsidR="00167421" w:rsidRDefault="00167421" w:rsidP="00013ADF">
            <w:pPr>
              <w:spacing w:line="276" w:lineRule="auto"/>
            </w:pPr>
            <w:r>
              <w:t>2011-2014</w:t>
            </w:r>
          </w:p>
        </w:tc>
        <w:tc>
          <w:tcPr>
            <w:tcW w:w="7577" w:type="dxa"/>
            <w:gridSpan w:val="2"/>
          </w:tcPr>
          <w:p w14:paraId="2DEA42F4" w14:textId="5A2EF0F5" w:rsidR="00167421" w:rsidRDefault="00167421" w:rsidP="00013ADF">
            <w:pPr>
              <w:spacing w:line="276" w:lineRule="auto"/>
            </w:pPr>
            <w:r>
              <w:t>The Sumitomo Scholarship, St. Stephen’s College</w:t>
            </w:r>
          </w:p>
        </w:tc>
      </w:tr>
      <w:tr w:rsidR="00013ADF" w14:paraId="142D2AA8" w14:textId="77777777">
        <w:tc>
          <w:tcPr>
            <w:tcW w:w="9468" w:type="dxa"/>
            <w:gridSpan w:val="5"/>
          </w:tcPr>
          <w:p w14:paraId="1CC03139" w14:textId="008461D8" w:rsidR="00B3079A" w:rsidRDefault="00B3079A" w:rsidP="00013ADF">
            <w:pPr>
              <w:spacing w:line="276" w:lineRule="auto"/>
              <w:rPr>
                <w:b/>
              </w:rPr>
            </w:pPr>
          </w:p>
        </w:tc>
      </w:tr>
      <w:tr w:rsidR="00013ADF" w14:paraId="1D0AC1DB" w14:textId="77777777">
        <w:tc>
          <w:tcPr>
            <w:tcW w:w="9468" w:type="dxa"/>
            <w:gridSpan w:val="5"/>
          </w:tcPr>
          <w:p w14:paraId="23CA256E" w14:textId="6D57AF4C" w:rsidR="00013ADF" w:rsidRDefault="00013ADF" w:rsidP="00013ADF">
            <w:pPr>
              <w:spacing w:line="276" w:lineRule="auto"/>
              <w:rPr>
                <w:b/>
                <w:u w:val="single"/>
              </w:rPr>
            </w:pPr>
            <w:r>
              <w:rPr>
                <w:b/>
                <w:u w:val="single"/>
              </w:rPr>
              <w:t>Publications</w:t>
            </w:r>
          </w:p>
        </w:tc>
      </w:tr>
      <w:tr w:rsidR="00013ADF" w14:paraId="5892C2CA" w14:textId="77777777" w:rsidTr="00813B7B">
        <w:tc>
          <w:tcPr>
            <w:tcW w:w="9468" w:type="dxa"/>
            <w:gridSpan w:val="5"/>
          </w:tcPr>
          <w:p w14:paraId="5BAEB641" w14:textId="172FDF16" w:rsidR="00E50742" w:rsidRPr="006B4E27" w:rsidRDefault="00013ADF" w:rsidP="00E50742">
            <w:pPr>
              <w:spacing w:line="276" w:lineRule="auto"/>
              <w:rPr>
                <w:i/>
                <w:iCs/>
              </w:rPr>
            </w:pPr>
            <w:r>
              <w:t xml:space="preserve">Nancy Folbre, Leila Gautham, and Kristin Smith. </w:t>
            </w:r>
            <w:r w:rsidR="009A23E2">
              <w:t>F</w:t>
            </w:r>
            <w:r w:rsidR="00E50742">
              <w:t xml:space="preserve">orthcoming, </w:t>
            </w:r>
            <w:r>
              <w:t>“Essential Workers and Care Penalties in the United States</w:t>
            </w:r>
            <w:r w:rsidR="00E50742">
              <w:t>,</w:t>
            </w:r>
            <w:r>
              <w:t xml:space="preserve">” </w:t>
            </w:r>
            <w:r w:rsidRPr="009B685B">
              <w:rPr>
                <w:i/>
                <w:iCs/>
              </w:rPr>
              <w:t>Feminist Economics</w:t>
            </w:r>
            <w:r w:rsidR="00E50742">
              <w:rPr>
                <w:i/>
                <w:iCs/>
              </w:rPr>
              <w:t>.</w:t>
            </w:r>
          </w:p>
        </w:tc>
      </w:tr>
      <w:tr w:rsidR="00013ADF" w14:paraId="7DDBB00B" w14:textId="77777777" w:rsidTr="00813B7B">
        <w:tc>
          <w:tcPr>
            <w:tcW w:w="9468" w:type="dxa"/>
            <w:gridSpan w:val="5"/>
          </w:tcPr>
          <w:p w14:paraId="2ACD2937" w14:textId="77777777" w:rsidR="006B4E27" w:rsidRDefault="006B4E27" w:rsidP="00013ADF">
            <w:pPr>
              <w:spacing w:line="276" w:lineRule="auto"/>
            </w:pPr>
          </w:p>
          <w:p w14:paraId="40BBC0AE" w14:textId="3C385052" w:rsidR="00013ADF" w:rsidRDefault="00013ADF" w:rsidP="00013ADF">
            <w:pPr>
              <w:spacing w:line="276" w:lineRule="auto"/>
            </w:pPr>
            <w:r>
              <w:t>Deepankar</w:t>
            </w:r>
            <w:r w:rsidR="00E50742">
              <w:t xml:space="preserve"> Basu</w:t>
            </w:r>
            <w:r>
              <w:t xml:space="preserve"> and Leila Gautham. </w:t>
            </w:r>
            <w:r w:rsidR="009A23E2">
              <w:t>F</w:t>
            </w:r>
            <w:r w:rsidR="00E50742">
              <w:t>orthcoming</w:t>
            </w:r>
            <w:r>
              <w:t>. “</w:t>
            </w:r>
            <w:r w:rsidRPr="007F6858">
              <w:t>What is the Effect of an Exogenous Shock to the Wage Share? VAR Results for the US, 1973-2018</w:t>
            </w:r>
            <w:r w:rsidR="00E50742">
              <w:t>,</w:t>
            </w:r>
            <w:r>
              <w:t xml:space="preserve">” </w:t>
            </w:r>
            <w:r w:rsidR="001B3CEB">
              <w:t>i</w:t>
            </w:r>
            <w:r>
              <w:t xml:space="preserve">n </w:t>
            </w:r>
            <w:r w:rsidR="001B3CEB">
              <w:t xml:space="preserve">Deepankar </w:t>
            </w:r>
            <w:r>
              <w:t xml:space="preserve">Basu and </w:t>
            </w:r>
            <w:r w:rsidR="00696295">
              <w:t xml:space="preserve">Debarshi </w:t>
            </w:r>
            <w:r>
              <w:t xml:space="preserve">Das ed. </w:t>
            </w:r>
            <w:r w:rsidRPr="007F6858">
              <w:rPr>
                <w:i/>
                <w:iCs/>
              </w:rPr>
              <w:t>Conflict, Demand and Economic Development: Essays in Honor of Amit Bhaduri</w:t>
            </w:r>
            <w:r>
              <w:t xml:space="preserve">. </w:t>
            </w:r>
            <w:r w:rsidR="00E50742">
              <w:t xml:space="preserve">New York: </w:t>
            </w:r>
            <w:r>
              <w:t>Routledge</w:t>
            </w:r>
            <w:r w:rsidR="00E50742">
              <w:t>.</w:t>
            </w:r>
            <w:r>
              <w:t xml:space="preserve"> </w:t>
            </w:r>
          </w:p>
        </w:tc>
      </w:tr>
      <w:tr w:rsidR="00013ADF" w14:paraId="70B4ED86" w14:textId="77777777">
        <w:tc>
          <w:tcPr>
            <w:tcW w:w="9468" w:type="dxa"/>
            <w:gridSpan w:val="5"/>
          </w:tcPr>
          <w:p w14:paraId="119E5F36" w14:textId="6369EAF8" w:rsidR="00013ADF" w:rsidRDefault="00013ADF" w:rsidP="00013ADF">
            <w:pPr>
              <w:spacing w:line="276" w:lineRule="auto"/>
              <w:rPr>
                <w:b/>
                <w:u w:val="single"/>
              </w:rPr>
            </w:pPr>
          </w:p>
          <w:p w14:paraId="046F32FC" w14:textId="5BEC2FB0" w:rsidR="00013ADF" w:rsidRDefault="00013ADF" w:rsidP="00013ADF">
            <w:pPr>
              <w:spacing w:line="276" w:lineRule="auto"/>
            </w:pPr>
            <w:r>
              <w:rPr>
                <w:b/>
                <w:u w:val="single"/>
              </w:rPr>
              <w:t>Research Papers in Progress</w:t>
            </w:r>
            <w:r>
              <w:t xml:space="preserve"> </w:t>
            </w:r>
          </w:p>
          <w:p w14:paraId="0EEE5F5D" w14:textId="69CD1FE4" w:rsidR="001B3CEB" w:rsidRDefault="001B3CEB" w:rsidP="00013ADF">
            <w:pPr>
              <w:spacing w:line="276" w:lineRule="auto"/>
            </w:pPr>
          </w:p>
          <w:p w14:paraId="7D4D5500" w14:textId="63CB0FBE" w:rsidR="001B3CEB" w:rsidRPr="001B3CEB" w:rsidRDefault="001B3CEB" w:rsidP="001B3CEB">
            <w:pPr>
              <w:spacing w:line="276" w:lineRule="auto"/>
              <w:rPr>
                <w:iCs/>
              </w:rPr>
            </w:pPr>
            <w:r>
              <w:rPr>
                <w:bCs/>
              </w:rPr>
              <w:t>“</w:t>
            </w:r>
            <w:r w:rsidRPr="00696295">
              <w:rPr>
                <w:bCs/>
                <w:i/>
                <w:iCs/>
              </w:rPr>
              <w:t>Cheap Praise: Supplemental Pay for Essential Workers in the COVID-19 Pandemic</w:t>
            </w:r>
            <w:r w:rsidRPr="007C1B42">
              <w:rPr>
                <w:bCs/>
              </w:rPr>
              <w:t>”</w:t>
            </w:r>
          </w:p>
          <w:p w14:paraId="3923A588" w14:textId="61A6E4CF" w:rsidR="00DF3D82" w:rsidRDefault="001B3CEB" w:rsidP="001B3CEB">
            <w:pPr>
              <w:spacing w:line="276" w:lineRule="auto"/>
              <w:rPr>
                <w:iCs/>
              </w:rPr>
            </w:pPr>
            <w:r>
              <w:t xml:space="preserve">(with </w:t>
            </w:r>
            <w:r w:rsidR="00E50742" w:rsidRPr="001B3CEB">
              <w:rPr>
                <w:iCs/>
              </w:rPr>
              <w:t>Franziska Dorn, Nancy Folbre, and Martha MacDonald</w:t>
            </w:r>
            <w:r>
              <w:rPr>
                <w:iCs/>
              </w:rPr>
              <w:t>)</w:t>
            </w:r>
            <w:r w:rsidR="00E50742" w:rsidRPr="001B3CEB">
              <w:rPr>
                <w:iCs/>
              </w:rPr>
              <w:t xml:space="preserve"> </w:t>
            </w:r>
          </w:p>
          <w:p w14:paraId="7979D72F" w14:textId="5BE84EE0" w:rsidR="001B3CEB" w:rsidRDefault="00DF3D82" w:rsidP="001B3CEB">
            <w:pPr>
              <w:spacing w:line="276" w:lineRule="auto"/>
            </w:pPr>
            <w:r>
              <w:rPr>
                <w:iCs/>
              </w:rPr>
              <w:t xml:space="preserve">Under consideration for </w:t>
            </w:r>
            <w:r w:rsidR="001B3CEB" w:rsidRPr="00696295">
              <w:rPr>
                <w:bCs/>
              </w:rPr>
              <w:t>Mignon Duffy, Amy Armenia, and Kim Price-Glynn, eds.</w:t>
            </w:r>
            <w:r w:rsidR="001B3CEB">
              <w:rPr>
                <w:bCs/>
              </w:rPr>
              <w:t xml:space="preserve"> </w:t>
            </w:r>
            <w:r w:rsidR="001B3CEB" w:rsidRPr="00696295">
              <w:rPr>
                <w:rFonts w:ascii="Times New Roman Italic" w:hAnsi="Times New Roman Italic"/>
                <w:i/>
              </w:rPr>
              <w:t>Confronting the Global Care Crisis during COVID-19: Past Problems, New Issues, and Pathways to Change</w:t>
            </w:r>
            <w:r w:rsidR="001B3CEB" w:rsidRPr="001B3CEB">
              <w:t xml:space="preserve">, under contract to Rutgers University Press. </w:t>
            </w:r>
          </w:p>
          <w:p w14:paraId="11208A60" w14:textId="105592B3" w:rsidR="001B3CEB" w:rsidRPr="001B3CEB" w:rsidRDefault="001B3CEB" w:rsidP="001B3CEB">
            <w:pPr>
              <w:spacing w:line="276" w:lineRule="auto"/>
              <w:rPr>
                <w:bCs/>
              </w:rPr>
            </w:pPr>
            <w:r>
              <w:rPr>
                <w:bCs/>
              </w:rPr>
              <w:t xml:space="preserve">This paper compares </w:t>
            </w:r>
            <w:r w:rsidR="00EE5432">
              <w:rPr>
                <w:bCs/>
              </w:rPr>
              <w:t>policies implemented in the U.S., Canada, and Germany regarding the provision of supplemental or hazard pay</w:t>
            </w:r>
            <w:r w:rsidR="00C43062">
              <w:rPr>
                <w:bCs/>
              </w:rPr>
              <w:t xml:space="preserve"> to essential workers</w:t>
            </w:r>
            <w:r w:rsidR="00EE5432">
              <w:rPr>
                <w:bCs/>
              </w:rPr>
              <w:t xml:space="preserve"> during the first six months of the Covid-19 pandemic. </w:t>
            </w:r>
          </w:p>
          <w:p w14:paraId="65831476" w14:textId="39039C9A" w:rsidR="00E50742" w:rsidRPr="00541F29" w:rsidRDefault="00E50742" w:rsidP="00013ADF">
            <w:pPr>
              <w:spacing w:line="276" w:lineRule="auto"/>
            </w:pPr>
          </w:p>
        </w:tc>
      </w:tr>
      <w:tr w:rsidR="00013ADF" w14:paraId="3F6F1419" w14:textId="77777777">
        <w:tc>
          <w:tcPr>
            <w:tcW w:w="9468" w:type="dxa"/>
            <w:gridSpan w:val="5"/>
          </w:tcPr>
          <w:p w14:paraId="680914C7" w14:textId="1D49A7ED" w:rsidR="00013ADF" w:rsidRDefault="00013ADF" w:rsidP="00013ADF">
            <w:pPr>
              <w:spacing w:line="276" w:lineRule="auto"/>
            </w:pPr>
            <w:r>
              <w:t>“</w:t>
            </w:r>
            <w:r w:rsidRPr="00950326">
              <w:rPr>
                <w:i/>
                <w:iCs/>
              </w:rPr>
              <w:t>Gender, Motherhood and Wages in India</w:t>
            </w:r>
            <w:r>
              <w:t xml:space="preserve">” </w:t>
            </w:r>
          </w:p>
        </w:tc>
      </w:tr>
      <w:tr w:rsidR="00013ADF" w14:paraId="229CBD17" w14:textId="77777777">
        <w:tc>
          <w:tcPr>
            <w:tcW w:w="9468" w:type="dxa"/>
            <w:gridSpan w:val="5"/>
          </w:tcPr>
          <w:p w14:paraId="2362DBF3" w14:textId="639E89A4" w:rsidR="00013ADF" w:rsidRPr="00C463FE" w:rsidRDefault="00947D56" w:rsidP="00013ADF">
            <w:pPr>
              <w:spacing w:line="276" w:lineRule="auto"/>
              <w:jc w:val="both"/>
            </w:pPr>
            <w:r w:rsidRPr="00947D56">
              <w:t>Motherhood has been shown to reduce women’s earnings and to be an important reason why women earn less than men, yet evidence from developing countries remains scarce. Using cross-sectional and panel data, this paper aims to provide the first estimates for the effect of children on women’s wages in India</w:t>
            </w:r>
            <w:r w:rsidR="00101D56">
              <w:t>. I focus</w:t>
            </w:r>
            <w:r w:rsidRPr="00947D56">
              <w:t xml:space="preserve"> on an important component of heterogeneity in this “motherhood penalty:” the constraints faced by urban mothers in combining paid work and child</w:t>
            </w:r>
            <w:r w:rsidR="00CA3847">
              <w:t>care</w:t>
            </w:r>
            <w:r w:rsidRPr="00947D56">
              <w:t xml:space="preserve"> are substantially different from their rural counterparts. I</w:t>
            </w:r>
            <w:r w:rsidR="00481277">
              <w:t>n particular, u</w:t>
            </w:r>
            <w:r w:rsidRPr="00947D56">
              <w:t>rban women have better educational and job characteristics than rural women</w:t>
            </w:r>
            <w:r w:rsidR="00DF3D82">
              <w:t>.</w:t>
            </w:r>
            <w:r w:rsidRPr="00947D56">
              <w:t xml:space="preserve"> </w:t>
            </w:r>
            <w:r w:rsidR="00DF3D82">
              <w:t>G</w:t>
            </w:r>
            <w:r w:rsidRPr="00947D56">
              <w:t>ender gaps in these attributes play virtually no role in explaining the urban gender wage gap</w:t>
            </w:r>
            <w:r w:rsidR="00DF3D82">
              <w:t xml:space="preserve"> but may </w:t>
            </w:r>
            <w:r w:rsidRPr="00947D56">
              <w:t>entail higher costs for urban women after they bear children.</w:t>
            </w:r>
          </w:p>
        </w:tc>
      </w:tr>
      <w:tr w:rsidR="00013ADF" w14:paraId="7409CA1E" w14:textId="77777777">
        <w:tc>
          <w:tcPr>
            <w:tcW w:w="9468" w:type="dxa"/>
            <w:gridSpan w:val="5"/>
          </w:tcPr>
          <w:p w14:paraId="27A15A16" w14:textId="77777777" w:rsidR="00013ADF" w:rsidRPr="00C463FE" w:rsidRDefault="00013ADF" w:rsidP="00013ADF">
            <w:pPr>
              <w:spacing w:line="276" w:lineRule="auto"/>
              <w:jc w:val="both"/>
            </w:pPr>
          </w:p>
        </w:tc>
      </w:tr>
      <w:tr w:rsidR="00013ADF" w14:paraId="50016586" w14:textId="77777777">
        <w:tc>
          <w:tcPr>
            <w:tcW w:w="9468" w:type="dxa"/>
            <w:gridSpan w:val="5"/>
          </w:tcPr>
          <w:p w14:paraId="78558F52" w14:textId="5C852F6A" w:rsidR="00013ADF" w:rsidRDefault="00013ADF" w:rsidP="00013ADF">
            <w:pPr>
              <w:spacing w:line="276" w:lineRule="auto"/>
              <w:jc w:val="both"/>
            </w:pPr>
            <w:r>
              <w:t>“</w:t>
            </w:r>
            <w:r w:rsidRPr="00F939CD">
              <w:rPr>
                <w:i/>
                <w:iCs/>
              </w:rPr>
              <w:t xml:space="preserve">Regional </w:t>
            </w:r>
            <w:r w:rsidR="00167F23">
              <w:rPr>
                <w:i/>
                <w:iCs/>
              </w:rPr>
              <w:t>D</w:t>
            </w:r>
            <w:r w:rsidRPr="00F939CD">
              <w:rPr>
                <w:i/>
                <w:iCs/>
              </w:rPr>
              <w:t xml:space="preserve">ifferences in </w:t>
            </w:r>
            <w:r w:rsidR="00167F23">
              <w:rPr>
                <w:i/>
                <w:iCs/>
              </w:rPr>
              <w:t>G</w:t>
            </w:r>
            <w:r w:rsidRPr="00F939CD">
              <w:rPr>
                <w:i/>
                <w:iCs/>
              </w:rPr>
              <w:t xml:space="preserve">ender </w:t>
            </w:r>
            <w:r w:rsidR="00167F23">
              <w:rPr>
                <w:i/>
                <w:iCs/>
              </w:rPr>
              <w:t>G</w:t>
            </w:r>
            <w:r w:rsidRPr="00F939CD">
              <w:rPr>
                <w:i/>
                <w:iCs/>
              </w:rPr>
              <w:t xml:space="preserve">aps in </w:t>
            </w:r>
            <w:r w:rsidR="00167F23">
              <w:rPr>
                <w:i/>
                <w:iCs/>
              </w:rPr>
              <w:t>E</w:t>
            </w:r>
            <w:r w:rsidRPr="00F939CD">
              <w:rPr>
                <w:i/>
                <w:iCs/>
              </w:rPr>
              <w:t xml:space="preserve">mployment and </w:t>
            </w:r>
            <w:r w:rsidR="00167F23">
              <w:rPr>
                <w:i/>
                <w:iCs/>
              </w:rPr>
              <w:t>W</w:t>
            </w:r>
            <w:r w:rsidRPr="00F939CD">
              <w:rPr>
                <w:i/>
                <w:iCs/>
              </w:rPr>
              <w:t xml:space="preserve">ages in </w:t>
            </w:r>
            <w:r w:rsidR="00167F23">
              <w:rPr>
                <w:i/>
                <w:iCs/>
              </w:rPr>
              <w:t>U</w:t>
            </w:r>
            <w:r w:rsidRPr="00F939CD">
              <w:rPr>
                <w:i/>
                <w:iCs/>
              </w:rPr>
              <w:t>rban India</w:t>
            </w:r>
            <w:r>
              <w:t>”</w:t>
            </w:r>
          </w:p>
          <w:p w14:paraId="35626B06" w14:textId="0935BAA1" w:rsidR="00013ADF" w:rsidRDefault="00013ADF" w:rsidP="00013ADF">
            <w:pPr>
              <w:spacing w:line="276" w:lineRule="auto"/>
              <w:jc w:val="both"/>
            </w:pPr>
            <w:r w:rsidRPr="005C4D7A">
              <w:t>This paper investigates regional differences in gender gaps in participation and wages in urban India. I argue that stronger social norms stigmatizing women’s wage work contribute to lower rates of female participation in the northern states of India compared to south</w:t>
            </w:r>
            <w:r w:rsidR="00DF3D82">
              <w:t>ern states</w:t>
            </w:r>
            <w:r w:rsidRPr="005C4D7A">
              <w:t xml:space="preserve">, particularly among less-educated women. Differences in patterns of participation introduce significant selection biases in the measurement of gender wage gaps and help explain why urban gender wage gaps are significantly lower in the north, despite the south doing at least as well in terms of other indicators of gender equality. </w:t>
            </w:r>
            <w:r w:rsidR="00DF3D82">
              <w:t>My hypothesis is that s</w:t>
            </w:r>
            <w:r w:rsidRPr="005C4D7A">
              <w:t>election-corrected wage gaps that impute wages for the non-employed based on observed and unobserved characteristics are similar for both the north and south.</w:t>
            </w:r>
          </w:p>
          <w:p w14:paraId="5E02E054" w14:textId="77777777" w:rsidR="00DF3D82" w:rsidRDefault="00DF3D82" w:rsidP="00013ADF">
            <w:pPr>
              <w:spacing w:line="276" w:lineRule="auto"/>
              <w:jc w:val="both"/>
            </w:pPr>
          </w:p>
          <w:p w14:paraId="19489862" w14:textId="4BFDDB0A" w:rsidR="00DF3D82" w:rsidRDefault="005E3CBE" w:rsidP="00013ADF">
            <w:pPr>
              <w:spacing w:line="276" w:lineRule="auto"/>
              <w:jc w:val="both"/>
            </w:pPr>
            <w:r>
              <w:t>“</w:t>
            </w:r>
            <w:r w:rsidRPr="005E3CBE">
              <w:rPr>
                <w:i/>
                <w:iCs/>
              </w:rPr>
              <w:t>Employment opportunities and women’s bargaining power in India</w:t>
            </w:r>
            <w:r>
              <w:t>”</w:t>
            </w:r>
          </w:p>
          <w:p w14:paraId="6E32B95A" w14:textId="21346098" w:rsidR="005E3CBE" w:rsidRDefault="005E3CBE" w:rsidP="005E3CBE">
            <w:pPr>
              <w:spacing w:line="276" w:lineRule="auto"/>
              <w:jc w:val="both"/>
            </w:pPr>
            <w:r>
              <w:t>Household bargaining models predict that better employment</w:t>
            </w:r>
            <w:r w:rsidR="009A09FF">
              <w:t xml:space="preserve"> </w:t>
            </w:r>
            <w:r>
              <w:t>opportunities for women improve their fallback position and bargaining</w:t>
            </w:r>
            <w:r w:rsidR="009A09FF">
              <w:t xml:space="preserve"> </w:t>
            </w:r>
            <w:r>
              <w:t>power. This paper explores the effect of employment opportunities on</w:t>
            </w:r>
          </w:p>
          <w:p w14:paraId="127C9233" w14:textId="25F202BD" w:rsidR="005E3CBE" w:rsidRPr="00C463FE" w:rsidRDefault="005E3CBE" w:rsidP="005E3CBE">
            <w:pPr>
              <w:spacing w:line="276" w:lineRule="auto"/>
              <w:jc w:val="both"/>
            </w:pPr>
            <w:r>
              <w:t>women's intra-household bargaining power, and tests whether</w:t>
            </w:r>
            <w:r w:rsidR="009A09FF">
              <w:t xml:space="preserve"> employment in household enterprises </w:t>
            </w:r>
            <w:r>
              <w:t>affect</w:t>
            </w:r>
            <w:r w:rsidR="009A09FF">
              <w:t>s</w:t>
            </w:r>
            <w:r>
              <w:t xml:space="preserve"> bargaining power</w:t>
            </w:r>
            <w:r w:rsidR="009A09FF">
              <w:t xml:space="preserve"> </w:t>
            </w:r>
            <w:r>
              <w:t xml:space="preserve">differently compared to </w:t>
            </w:r>
            <w:r w:rsidR="009A09FF">
              <w:t>wage work opportunities</w:t>
            </w:r>
            <w:r>
              <w:t>, through a</w:t>
            </w:r>
            <w:r w:rsidR="009A09FF">
              <w:t xml:space="preserve">n </w:t>
            </w:r>
            <w:r>
              <w:t xml:space="preserve">empirical case study of the Indian context. I </w:t>
            </w:r>
            <w:r w:rsidR="009A09FF">
              <w:t xml:space="preserve">combine </w:t>
            </w:r>
            <w:r>
              <w:t xml:space="preserve">panel data </w:t>
            </w:r>
            <w:r w:rsidR="009A09FF">
              <w:t xml:space="preserve">on a rich set of variables on women’s bargaining power </w:t>
            </w:r>
            <w:r>
              <w:t>from the</w:t>
            </w:r>
            <w:r w:rsidR="009A09FF">
              <w:t xml:space="preserve"> </w:t>
            </w:r>
            <w:r>
              <w:t>Indian Human Development Survey</w:t>
            </w:r>
            <w:r w:rsidR="009A09FF">
              <w:t xml:space="preserve"> with data on regional labor markets from the National Sample Surveys and Economic Census</w:t>
            </w:r>
            <w:r w:rsidR="00C010A2">
              <w:t>, measuring employment opportunities through a shift-share design</w:t>
            </w:r>
            <w:r w:rsidR="009A09FF">
              <w:t>.</w:t>
            </w:r>
            <w:r w:rsidR="00C010A2">
              <w:t xml:space="preserve"> I hypothesize that wage work might be </w:t>
            </w:r>
            <w:r>
              <w:t>characterized by greater independence</w:t>
            </w:r>
            <w:r w:rsidR="00C010A2">
              <w:t xml:space="preserve"> </w:t>
            </w:r>
            <w:r>
              <w:t>from the family and</w:t>
            </w:r>
            <w:r w:rsidR="00C010A2">
              <w:t xml:space="preserve"> </w:t>
            </w:r>
            <w:r>
              <w:t xml:space="preserve">the </w:t>
            </w:r>
            <w:r>
              <w:lastRenderedPageBreak/>
              <w:t>social community</w:t>
            </w:r>
            <w:r w:rsidR="00C010A2">
              <w:t xml:space="preserve"> compared to household employment</w:t>
            </w:r>
            <w:r w:rsidR="00A13B69">
              <w:t>. I</w:t>
            </w:r>
            <w:r w:rsidR="00C010A2">
              <w:t xml:space="preserve"> examine heterogeneity in </w:t>
            </w:r>
            <w:r w:rsidR="00A13B69">
              <w:t>the</w:t>
            </w:r>
            <w:r w:rsidR="00C010A2">
              <w:t xml:space="preserve"> impact</w:t>
            </w:r>
            <w:r w:rsidR="00A13B69">
              <w:t xml:space="preserve"> of employment opportunities</w:t>
            </w:r>
            <w:r w:rsidR="00C010A2">
              <w:t xml:space="preserve"> on bargaining power across caste and class groups.</w:t>
            </w:r>
          </w:p>
        </w:tc>
      </w:tr>
      <w:tr w:rsidR="00013ADF" w14:paraId="38B9A8F8" w14:textId="77777777">
        <w:tc>
          <w:tcPr>
            <w:tcW w:w="9468" w:type="dxa"/>
            <w:gridSpan w:val="5"/>
          </w:tcPr>
          <w:p w14:paraId="78CF032C" w14:textId="77777777" w:rsidR="00013ADF" w:rsidRDefault="00013ADF" w:rsidP="00013ADF">
            <w:pPr>
              <w:spacing w:line="276" w:lineRule="auto"/>
            </w:pPr>
          </w:p>
        </w:tc>
      </w:tr>
      <w:tr w:rsidR="00013ADF" w14:paraId="59F134A3" w14:textId="77777777">
        <w:tc>
          <w:tcPr>
            <w:tcW w:w="9468" w:type="dxa"/>
            <w:gridSpan w:val="5"/>
          </w:tcPr>
          <w:p w14:paraId="459400D8" w14:textId="16A9FA1D" w:rsidR="00013ADF" w:rsidRDefault="00013ADF" w:rsidP="00013ADF">
            <w:pPr>
              <w:spacing w:line="276" w:lineRule="auto"/>
            </w:pPr>
            <w:r>
              <w:t>“</w:t>
            </w:r>
            <w:r w:rsidRPr="00C463FE">
              <w:rPr>
                <w:i/>
                <w:iCs/>
              </w:rPr>
              <w:t>Earnings Inequality by Industry: Care Services versus Business Services in the U.S., 1985 to 2018</w:t>
            </w:r>
            <w:r>
              <w:t>”</w:t>
            </w:r>
          </w:p>
        </w:tc>
      </w:tr>
      <w:tr w:rsidR="00013ADF" w14:paraId="7D42D141" w14:textId="77777777">
        <w:tc>
          <w:tcPr>
            <w:tcW w:w="9468" w:type="dxa"/>
            <w:gridSpan w:val="5"/>
          </w:tcPr>
          <w:p w14:paraId="4880BA14" w14:textId="7ECBD0C0" w:rsidR="00013ADF" w:rsidRDefault="00013ADF" w:rsidP="00013ADF">
            <w:pPr>
              <w:spacing w:line="276" w:lineRule="auto"/>
            </w:pPr>
            <w:r>
              <w:t>(with Nancy Folbre and Kristin Smith)</w:t>
            </w:r>
          </w:p>
          <w:p w14:paraId="157D26B6" w14:textId="5FF9D335" w:rsidR="00013ADF" w:rsidRDefault="00013ADF" w:rsidP="00013ADF">
            <w:pPr>
              <w:spacing w:line="276" w:lineRule="auto"/>
              <w:jc w:val="both"/>
            </w:pPr>
            <w:r w:rsidRPr="00C463FE">
              <w:t>Despite the large and heterogeneous character of what is commonly termed the service sector,</w:t>
            </w:r>
            <w:r>
              <w:t xml:space="preserve"> </w:t>
            </w:r>
            <w:r w:rsidRPr="00C463FE">
              <w:t>economists have devoted relatively little attention to its disaggregation. In this paper, we make a case for a tripartite division into care services, business services, and other services, based on important differences in the type of services delivered and characteristics of their consumers. Because professional and managerial jobs in care industries tend to pay less than others, controlling for education and other characteristics, the distribution of earnings in these industries is relatively compressed</w:t>
            </w:r>
            <w:r w:rsidR="00DF3D82">
              <w:t xml:space="preserve">. </w:t>
            </w:r>
            <w:r w:rsidRPr="00C463FE">
              <w:t>What difference does this make for trends in earnings inequality? In this paper, we apply unconditional quantile regressions to data from U.S. Current Population Surveys to show that 1)  the growth of primarily female employment in care services since the 1980s has buffered overall increases in wage inequality over time, and 2) men’s employment in business services has increased significantly over this period, a pattern that may help explain why gender convergence in wages has stalled since the mid</w:t>
            </w:r>
            <w:r>
              <w:t>-</w:t>
            </w:r>
            <w:r w:rsidRPr="00C463FE">
              <w:t>1990s.</w:t>
            </w:r>
          </w:p>
        </w:tc>
      </w:tr>
      <w:tr w:rsidR="00013ADF" w14:paraId="641E852A" w14:textId="77777777">
        <w:tc>
          <w:tcPr>
            <w:tcW w:w="9468" w:type="dxa"/>
            <w:gridSpan w:val="5"/>
          </w:tcPr>
          <w:p w14:paraId="1EEC239A" w14:textId="77777777" w:rsidR="00013ADF" w:rsidRDefault="00013ADF" w:rsidP="00013ADF">
            <w:pPr>
              <w:spacing w:line="276" w:lineRule="auto"/>
            </w:pPr>
          </w:p>
        </w:tc>
      </w:tr>
      <w:tr w:rsidR="00013ADF" w14:paraId="2870C5D5" w14:textId="77777777">
        <w:tc>
          <w:tcPr>
            <w:tcW w:w="9468" w:type="dxa"/>
            <w:gridSpan w:val="5"/>
          </w:tcPr>
          <w:p w14:paraId="01E77B45" w14:textId="4AFA6967" w:rsidR="00013ADF" w:rsidRDefault="00013ADF" w:rsidP="00013ADF">
            <w:pPr>
              <w:spacing w:line="276" w:lineRule="auto"/>
            </w:pPr>
            <w:r>
              <w:rPr>
                <w:b/>
                <w:u w:val="single"/>
              </w:rPr>
              <w:t>Skills</w:t>
            </w:r>
          </w:p>
        </w:tc>
      </w:tr>
      <w:tr w:rsidR="00013ADF" w14:paraId="1A22C716" w14:textId="77777777">
        <w:tc>
          <w:tcPr>
            <w:tcW w:w="9468" w:type="dxa"/>
            <w:gridSpan w:val="5"/>
          </w:tcPr>
          <w:p w14:paraId="096245F7" w14:textId="5CC56F7D" w:rsidR="00013ADF" w:rsidRDefault="00013ADF" w:rsidP="00013ADF">
            <w:pPr>
              <w:spacing w:line="276" w:lineRule="auto"/>
            </w:pPr>
            <w:r>
              <w:t>STATA, R, LaTeX</w:t>
            </w:r>
          </w:p>
        </w:tc>
      </w:tr>
      <w:tr w:rsidR="00013ADF" w14:paraId="7B5DAB20" w14:textId="77777777">
        <w:tc>
          <w:tcPr>
            <w:tcW w:w="9468" w:type="dxa"/>
            <w:gridSpan w:val="5"/>
          </w:tcPr>
          <w:p w14:paraId="433C4CDE" w14:textId="77777777" w:rsidR="00013ADF" w:rsidRDefault="00013ADF" w:rsidP="00013ADF">
            <w:pPr>
              <w:spacing w:line="276" w:lineRule="auto"/>
            </w:pPr>
          </w:p>
        </w:tc>
      </w:tr>
    </w:tbl>
    <w:p w14:paraId="50A79578" w14:textId="77777777" w:rsidR="007B6DAE" w:rsidRDefault="007B6DAE" w:rsidP="00FD3E04">
      <w:pPr>
        <w:spacing w:line="276" w:lineRule="auto"/>
        <w:rPr>
          <w:b/>
        </w:rPr>
      </w:pPr>
    </w:p>
    <w:sectPr w:rsidR="007B6DAE" w:rsidSect="00CE5C75">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E25E5" w14:textId="77777777" w:rsidR="00717A6F" w:rsidRDefault="00717A6F" w:rsidP="002D6047">
      <w:r>
        <w:separator/>
      </w:r>
    </w:p>
  </w:endnote>
  <w:endnote w:type="continuationSeparator" w:id="0">
    <w:p w14:paraId="361F1C67" w14:textId="77777777" w:rsidR="00717A6F" w:rsidRDefault="00717A6F"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BB825" w14:textId="77777777" w:rsidR="00717A6F" w:rsidRDefault="00717A6F" w:rsidP="002D6047">
      <w:r>
        <w:separator/>
      </w:r>
    </w:p>
  </w:footnote>
  <w:footnote w:type="continuationSeparator" w:id="0">
    <w:p w14:paraId="601CCA00" w14:textId="77777777" w:rsidR="00717A6F" w:rsidRDefault="00717A6F" w:rsidP="002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964941"/>
      <w:docPartObj>
        <w:docPartGallery w:val="Page Numbers (Top of Page)"/>
        <w:docPartUnique/>
      </w:docPartObj>
    </w:sdtPr>
    <w:sdtEndPr>
      <w:rPr>
        <w:noProof/>
      </w:rPr>
    </w:sdtEndPr>
    <w:sdtContent>
      <w:p w14:paraId="04CF31A8" w14:textId="77777777" w:rsidR="002D6047" w:rsidRDefault="002D6047">
        <w:pPr>
          <w:pStyle w:val="Header"/>
          <w:jc w:val="right"/>
        </w:pPr>
        <w:r>
          <w:t>-</w:t>
        </w:r>
        <w:r>
          <w:fldChar w:fldCharType="begin"/>
        </w:r>
        <w:r>
          <w:instrText xml:space="preserve"> PAGE   \* MERGEFORMAT </w:instrText>
        </w:r>
        <w:r>
          <w:fldChar w:fldCharType="separate"/>
        </w:r>
        <w:r w:rsidR="00DA548F">
          <w:rPr>
            <w:noProof/>
          </w:rPr>
          <w:t>1</w:t>
        </w:r>
        <w:r>
          <w:rPr>
            <w:noProof/>
          </w:rPr>
          <w:fldChar w:fldCharType="end"/>
        </w:r>
        <w:r>
          <w:rPr>
            <w:noProof/>
          </w:rPr>
          <w:t>-</w:t>
        </w:r>
      </w:p>
    </w:sdtContent>
  </w:sdt>
  <w:p w14:paraId="1BB0AFFB" w14:textId="77777777"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E"/>
    <w:rsid w:val="00013ADF"/>
    <w:rsid w:val="00036C3D"/>
    <w:rsid w:val="000967EE"/>
    <w:rsid w:val="001015E7"/>
    <w:rsid w:val="00101D56"/>
    <w:rsid w:val="001079F8"/>
    <w:rsid w:val="00167421"/>
    <w:rsid w:val="00167F23"/>
    <w:rsid w:val="001809AE"/>
    <w:rsid w:val="00184F24"/>
    <w:rsid w:val="001B096C"/>
    <w:rsid w:val="001B3CEB"/>
    <w:rsid w:val="001B7FA3"/>
    <w:rsid w:val="001C6B67"/>
    <w:rsid w:val="001D09AC"/>
    <w:rsid w:val="001E3E79"/>
    <w:rsid w:val="001F027B"/>
    <w:rsid w:val="00255651"/>
    <w:rsid w:val="002575D5"/>
    <w:rsid w:val="00263A87"/>
    <w:rsid w:val="00266340"/>
    <w:rsid w:val="00276AB6"/>
    <w:rsid w:val="00295032"/>
    <w:rsid w:val="002B7660"/>
    <w:rsid w:val="002D6047"/>
    <w:rsid w:val="00302047"/>
    <w:rsid w:val="0030698C"/>
    <w:rsid w:val="0038550C"/>
    <w:rsid w:val="00407314"/>
    <w:rsid w:val="00481277"/>
    <w:rsid w:val="0051534F"/>
    <w:rsid w:val="00537855"/>
    <w:rsid w:val="00541F29"/>
    <w:rsid w:val="005C4D7A"/>
    <w:rsid w:val="005D4496"/>
    <w:rsid w:val="005E3CBE"/>
    <w:rsid w:val="005F2E7B"/>
    <w:rsid w:val="00650F83"/>
    <w:rsid w:val="00696295"/>
    <w:rsid w:val="006B4E27"/>
    <w:rsid w:val="006E62C6"/>
    <w:rsid w:val="00704381"/>
    <w:rsid w:val="00717A6F"/>
    <w:rsid w:val="00751D93"/>
    <w:rsid w:val="00756E40"/>
    <w:rsid w:val="007B6542"/>
    <w:rsid w:val="007B6DAE"/>
    <w:rsid w:val="007D5215"/>
    <w:rsid w:val="007D6DF4"/>
    <w:rsid w:val="007F6858"/>
    <w:rsid w:val="00813B7B"/>
    <w:rsid w:val="00820F68"/>
    <w:rsid w:val="008300EA"/>
    <w:rsid w:val="008A4A86"/>
    <w:rsid w:val="00942C4A"/>
    <w:rsid w:val="00947D56"/>
    <w:rsid w:val="00950326"/>
    <w:rsid w:val="00963D42"/>
    <w:rsid w:val="009665F0"/>
    <w:rsid w:val="009A09FF"/>
    <w:rsid w:val="009A23E2"/>
    <w:rsid w:val="009B685B"/>
    <w:rsid w:val="009C21A0"/>
    <w:rsid w:val="009D0555"/>
    <w:rsid w:val="009E2A68"/>
    <w:rsid w:val="00A13B69"/>
    <w:rsid w:val="00A319F1"/>
    <w:rsid w:val="00A50A8A"/>
    <w:rsid w:val="00A740C6"/>
    <w:rsid w:val="00A8160B"/>
    <w:rsid w:val="00A94644"/>
    <w:rsid w:val="00AA563D"/>
    <w:rsid w:val="00AC36B8"/>
    <w:rsid w:val="00AC3E0A"/>
    <w:rsid w:val="00AE056E"/>
    <w:rsid w:val="00AF1DA4"/>
    <w:rsid w:val="00B3079A"/>
    <w:rsid w:val="00B45220"/>
    <w:rsid w:val="00C010A2"/>
    <w:rsid w:val="00C361B4"/>
    <w:rsid w:val="00C43062"/>
    <w:rsid w:val="00C463FE"/>
    <w:rsid w:val="00C54FE3"/>
    <w:rsid w:val="00C770D3"/>
    <w:rsid w:val="00CA3847"/>
    <w:rsid w:val="00CA63A2"/>
    <w:rsid w:val="00CE5C75"/>
    <w:rsid w:val="00D10B7A"/>
    <w:rsid w:val="00D575EC"/>
    <w:rsid w:val="00D628E3"/>
    <w:rsid w:val="00DA548F"/>
    <w:rsid w:val="00DF3D82"/>
    <w:rsid w:val="00E50742"/>
    <w:rsid w:val="00E9781B"/>
    <w:rsid w:val="00EE5432"/>
    <w:rsid w:val="00F57C01"/>
    <w:rsid w:val="00F939CD"/>
    <w:rsid w:val="00F97EB9"/>
    <w:rsid w:val="00FD3E04"/>
    <w:rsid w:val="00FD6A02"/>
    <w:rsid w:val="00FF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D0702"/>
  <w15:docId w15:val="{FDFF56B2-14D4-4EA3-9958-6B99D3AF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 w:type="character" w:styleId="CommentReference">
    <w:name w:val="annotation reference"/>
    <w:basedOn w:val="DefaultParagraphFont"/>
    <w:semiHidden/>
    <w:unhideWhenUsed/>
    <w:rsid w:val="00E50742"/>
    <w:rPr>
      <w:sz w:val="16"/>
      <w:szCs w:val="16"/>
    </w:rPr>
  </w:style>
  <w:style w:type="paragraph" w:styleId="CommentText">
    <w:name w:val="annotation text"/>
    <w:basedOn w:val="Normal"/>
    <w:link w:val="CommentTextChar"/>
    <w:semiHidden/>
    <w:unhideWhenUsed/>
    <w:rsid w:val="00E50742"/>
    <w:rPr>
      <w:sz w:val="20"/>
      <w:szCs w:val="20"/>
    </w:rPr>
  </w:style>
  <w:style w:type="character" w:customStyle="1" w:styleId="CommentTextChar">
    <w:name w:val="Comment Text Char"/>
    <w:basedOn w:val="DefaultParagraphFont"/>
    <w:link w:val="CommentText"/>
    <w:semiHidden/>
    <w:rsid w:val="00E50742"/>
  </w:style>
  <w:style w:type="paragraph" w:styleId="CommentSubject">
    <w:name w:val="annotation subject"/>
    <w:basedOn w:val="CommentText"/>
    <w:next w:val="CommentText"/>
    <w:link w:val="CommentSubjectChar"/>
    <w:semiHidden/>
    <w:unhideWhenUsed/>
    <w:rsid w:val="00E50742"/>
    <w:rPr>
      <w:b/>
      <w:bCs/>
    </w:rPr>
  </w:style>
  <w:style w:type="character" w:customStyle="1" w:styleId="CommentSubjectChar">
    <w:name w:val="Comment Subject Char"/>
    <w:basedOn w:val="CommentTextChar"/>
    <w:link w:val="CommentSubject"/>
    <w:semiHidden/>
    <w:rsid w:val="00E50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B0F140B493454DA6FA502CAFE82A76" ma:contentTypeVersion="7" ma:contentTypeDescription="Create a new document." ma:contentTypeScope="" ma:versionID="f7e175b4fe4312b75067ec8046caf4bb">
  <xsd:schema xmlns:xsd="http://www.w3.org/2001/XMLSchema" xmlns:xs="http://www.w3.org/2001/XMLSchema" xmlns:p="http://schemas.microsoft.com/office/2006/metadata/properties" xmlns:ns3="b99c9487-e5aa-44f2-afcd-f587dd9b86f3" targetNamespace="http://schemas.microsoft.com/office/2006/metadata/properties" ma:root="true" ma:fieldsID="b97ab2e56ae919a3c8760effd85f6227" ns3:_="">
    <xsd:import namespace="b99c9487-e5aa-44f2-afcd-f587dd9b86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c9487-e5aa-44f2-afcd-f587dd9b8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EE125-0866-0C49-8CDD-723578FAD7F0}">
  <ds:schemaRefs>
    <ds:schemaRef ds:uri="http://schemas.openxmlformats.org/officeDocument/2006/bibliography"/>
  </ds:schemaRefs>
</ds:datastoreItem>
</file>

<file path=customXml/itemProps2.xml><?xml version="1.0" encoding="utf-8"?>
<ds:datastoreItem xmlns:ds="http://schemas.openxmlformats.org/officeDocument/2006/customXml" ds:itemID="{3EA96F8C-21A7-4D96-85BC-F549911D0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17F9D5-0936-4F0A-AB1C-1913D27116B7}">
  <ds:schemaRefs>
    <ds:schemaRef ds:uri="http://schemas.microsoft.com/sharepoint/v3/contenttype/forms"/>
  </ds:schemaRefs>
</ds:datastoreItem>
</file>

<file path=customXml/itemProps4.xml><?xml version="1.0" encoding="utf-8"?>
<ds:datastoreItem xmlns:ds="http://schemas.openxmlformats.org/officeDocument/2006/customXml" ds:itemID="{58B60E93-B43A-4A97-97FA-B18D29F0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c9487-e5aa-44f2-afcd-f587dd9b8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926</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Leila Gautham</cp:lastModifiedBy>
  <cp:revision>36</cp:revision>
  <cp:lastPrinted>2002-08-27T01:11:00Z</cp:lastPrinted>
  <dcterms:created xsi:type="dcterms:W3CDTF">2020-10-18T11:04:00Z</dcterms:created>
  <dcterms:modified xsi:type="dcterms:W3CDTF">2020-10-27T06:54:00Z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0x01010076B0F140B493454DA6FA502CAFE82A76</vt:lpwstr>
  </property>
</Properties>
</file>